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BC" w:rsidRDefault="00145EA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E13DBC" w:rsidRDefault="00145EA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E13DBC" w:rsidRDefault="00145EAE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ростом платы за коммунальные услуги</w:t>
      </w:r>
    </w:p>
    <w:p w:rsidR="00E13DBC" w:rsidRDefault="00E13DBC">
      <w:pPr>
        <w:pStyle w:val="a4"/>
        <w:tabs>
          <w:tab w:val="left" w:pos="8931"/>
        </w:tabs>
        <w:rPr>
          <w:sz w:val="28"/>
          <w:szCs w:val="28"/>
        </w:rPr>
      </w:pPr>
    </w:p>
    <w:p w:rsidR="00E13DBC" w:rsidRDefault="00145EA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В соответствии с Жилищным кодексом Российской Федерации плата за коммунальные услуги, </w:t>
      </w:r>
      <w:r>
        <w:rPr>
          <w:sz w:val="27"/>
          <w:szCs w:val="27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titlerazdel"/>
          <w:sz w:val="27"/>
          <w:szCs w:val="27"/>
        </w:rPr>
        <w:t xml:space="preserve">(далее – </w:t>
      </w:r>
      <w:r>
        <w:rPr>
          <w:rStyle w:val="titlerazdel"/>
          <w:sz w:val="27"/>
          <w:szCs w:val="27"/>
        </w:rPr>
        <w:t>плата за коммунальные услуги)</w:t>
      </w:r>
      <w:r>
        <w:rPr>
          <w:sz w:val="27"/>
          <w:szCs w:val="27"/>
        </w:rPr>
        <w:t xml:space="preserve">. 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</w:t>
      </w:r>
      <w:r>
        <w:rPr>
          <w:rStyle w:val="titlerazdel"/>
          <w:sz w:val="27"/>
          <w:szCs w:val="27"/>
        </w:rPr>
        <w:t>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E13DBC" w:rsidRDefault="00145EAE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Style w:val="titlerazdel"/>
          <w:sz w:val="27"/>
          <w:szCs w:val="27"/>
        </w:rPr>
        <w:t>Служба жилищного и строительного надзора Ханты-Манс</w:t>
      </w:r>
      <w:r>
        <w:rPr>
          <w:rStyle w:val="titlerazdel"/>
          <w:sz w:val="27"/>
          <w:szCs w:val="27"/>
        </w:rPr>
        <w:t>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  <w:sz w:val="27"/>
          <w:szCs w:val="27"/>
        </w:rPr>
        <w:t xml:space="preserve"> </w:t>
      </w:r>
      <w:hyperlink r:id="rId7" w:tooltip="https://jsn.admhmao.ru/" w:history="1">
        <w:r>
          <w:rPr>
            <w:rStyle w:val="af2"/>
            <w:rFonts w:eastAsia="Calibri"/>
            <w:sz w:val="27"/>
            <w:szCs w:val="27"/>
          </w:rPr>
          <w:t>https://jsn.admhmao.ru/</w:t>
        </w:r>
      </w:hyperlink>
      <w:r>
        <w:rPr>
          <w:rFonts w:eastAsia="Calibri"/>
          <w:sz w:val="27"/>
          <w:szCs w:val="27"/>
        </w:rPr>
        <w:t>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Региональная служба по тарифам </w:t>
      </w:r>
      <w:r>
        <w:rPr>
          <w:sz w:val="27"/>
          <w:szCs w:val="27"/>
        </w:rPr>
        <w:t>Ханты-Мансийского автономного округа – Югры</w:t>
      </w:r>
      <w:r>
        <w:rPr>
          <w:rStyle w:val="titlerazdel"/>
          <w:sz w:val="27"/>
          <w:szCs w:val="27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</w:t>
      </w:r>
      <w:r>
        <w:rPr>
          <w:rStyle w:val="titlerazdel"/>
          <w:sz w:val="27"/>
          <w:szCs w:val="27"/>
        </w:rPr>
        <w:t>с потребителями данных услуг.</w:t>
      </w:r>
    </w:p>
    <w:p w:rsidR="00E13DBC" w:rsidRDefault="00145EA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8" w:tooltip="http://www.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, баннер «База тар</w:t>
      </w:r>
      <w:r>
        <w:rPr>
          <w:rStyle w:val="titlerazdel"/>
          <w:sz w:val="27"/>
          <w:szCs w:val="27"/>
        </w:rPr>
        <w:t>ифных решений РСТ Югры» (</w:t>
      </w:r>
      <w:hyperlink r:id="rId9" w:tooltip="http://bptr.eias.admhmao.ru/?reg=RU.5.86" w:history="1">
        <w:r>
          <w:rPr>
            <w:rStyle w:val="af2"/>
            <w:sz w:val="27"/>
            <w:szCs w:val="27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>
          <w:rPr>
            <w:rStyle w:val="af2"/>
            <w:sz w:val="27"/>
            <w:szCs w:val="27"/>
          </w:rPr>
          <w:t>s</w:t>
        </w:r>
        <w:bookmarkEnd w:id="2"/>
        <w:bookmarkEnd w:id="3"/>
        <w:r>
          <w:rPr>
            <w:rStyle w:val="af2"/>
            <w:sz w:val="27"/>
            <w:szCs w:val="27"/>
          </w:rPr>
          <w:t>.admhmao.ru/?reg=RU.5.86</w:t>
        </w:r>
      </w:hyperlink>
      <w:r>
        <w:rPr>
          <w:rStyle w:val="titlerazdel"/>
          <w:sz w:val="27"/>
          <w:szCs w:val="27"/>
        </w:rPr>
        <w:t>) (расположен в нижней части главной страницы сайта, переход осуществляется по стрелке),</w:t>
      </w:r>
      <w:r>
        <w:rPr>
          <w:rStyle w:val="titlerazdel"/>
          <w:sz w:val="27"/>
          <w:szCs w:val="27"/>
        </w:rPr>
        <w:t xml:space="preserve">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rPr>
          <w:sz w:val="27"/>
          <w:szCs w:val="27"/>
        </w:rPr>
        <w:t xml:space="preserve"> о расходах и </w:t>
      </w:r>
      <w:r>
        <w:rPr>
          <w:sz w:val="27"/>
          <w:szCs w:val="27"/>
        </w:rPr>
        <w:lastRenderedPageBreak/>
        <w:t>производственных показателях, принятых в тарифах в прот</w:t>
      </w:r>
      <w:r>
        <w:rPr>
          <w:sz w:val="27"/>
          <w:szCs w:val="27"/>
        </w:rPr>
        <w:t>околах заседаний правления (</w:t>
      </w:r>
      <w:hyperlink r:id="rId10" w:tooltip="https://rst.admhmao.ru/raskrytie-informatsii/" w:history="1">
        <w:r>
          <w:rPr>
            <w:rStyle w:val="af2"/>
            <w:sz w:val="27"/>
            <w:szCs w:val="27"/>
          </w:rPr>
          <w:t>https://rst.admhmao.ru/rask</w:t>
        </w:r>
        <w:bookmarkStart w:id="4" w:name="_Hlt125118260"/>
        <w:bookmarkStart w:id="5" w:name="_Hlt125118261"/>
        <w:r>
          <w:rPr>
            <w:rStyle w:val="af2"/>
            <w:sz w:val="27"/>
            <w:szCs w:val="27"/>
          </w:rPr>
          <w:t>r</w:t>
        </w:r>
        <w:bookmarkEnd w:id="4"/>
        <w:bookmarkEnd w:id="5"/>
        <w:r>
          <w:rPr>
            <w:rStyle w:val="af2"/>
            <w:sz w:val="27"/>
            <w:szCs w:val="27"/>
          </w:rPr>
          <w:t>ytie-informatsii/</w:t>
        </w:r>
      </w:hyperlink>
      <w:r>
        <w:rPr>
          <w:sz w:val="27"/>
          <w:szCs w:val="27"/>
          <w:u w:val="single"/>
        </w:rPr>
        <w:t>)</w:t>
      </w:r>
      <w:r>
        <w:rPr>
          <w:sz w:val="27"/>
          <w:szCs w:val="27"/>
        </w:rPr>
        <w:t>.</w:t>
      </w:r>
    </w:p>
    <w:p w:rsidR="00E13DBC" w:rsidRDefault="00145EAE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Установление нормативов потребления на холодную, горячую воду, водо</w:t>
      </w:r>
      <w:r>
        <w:rPr>
          <w:rFonts w:eastAsia="Calibri"/>
          <w:sz w:val="27"/>
          <w:szCs w:val="27"/>
        </w:rPr>
        <w:t>отведение, отопление, подогрев воды осуществляет  ДепЖКК и энергетики Югры, сайт:</w:t>
      </w:r>
      <w:hyperlink r:id="rId11" w:tooltip="https://ds.admhmao.ru/deyatelnost/" w:history="1">
        <w:r>
          <w:rPr>
            <w:sz w:val="27"/>
            <w:szCs w:val="27"/>
          </w:rPr>
          <w:t xml:space="preserve"> </w:t>
        </w:r>
        <w:r>
          <w:rPr>
            <w:rStyle w:val="13"/>
            <w:sz w:val="27"/>
            <w:szCs w:val="27"/>
          </w:rPr>
          <w:t>https://ds.admhmao.ru/de</w:t>
        </w:r>
        <w:bookmarkStart w:id="6" w:name="undefined"/>
        <w:r>
          <w:rPr>
            <w:rStyle w:val="13"/>
            <w:sz w:val="27"/>
            <w:szCs w:val="27"/>
          </w:rPr>
          <w:t>y</w:t>
        </w:r>
        <w:bookmarkEnd w:id="6"/>
        <w:r>
          <w:rPr>
            <w:rStyle w:val="13"/>
            <w:sz w:val="27"/>
            <w:szCs w:val="27"/>
          </w:rPr>
          <w:t>atelnost/</w:t>
        </w:r>
      </w:hyperlink>
      <w:r>
        <w:rPr>
          <w:rFonts w:eastAsia="Calibri"/>
          <w:sz w:val="27"/>
          <w:szCs w:val="27"/>
        </w:rPr>
        <w:t>.</w:t>
      </w:r>
    </w:p>
    <w:p w:rsidR="00E13DBC" w:rsidRDefault="00145EA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Полномочия по установлению нормативов накоплени</w:t>
      </w:r>
      <w:r>
        <w:rPr>
          <w:sz w:val="27"/>
          <w:szCs w:val="27"/>
        </w:rPr>
        <w:t xml:space="preserve">я твердых коммунальных отходов, постановлением Правительства </w:t>
      </w:r>
      <w:r>
        <w:rPr>
          <w:rStyle w:val="titlerazdel"/>
          <w:sz w:val="27"/>
          <w:szCs w:val="27"/>
        </w:rPr>
        <w:t>Ханты-Мансийского автономного округа – Югры</w:t>
      </w:r>
      <w:r>
        <w:rPr>
          <w:sz w:val="27"/>
          <w:szCs w:val="27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2" w:tooltip="https://depprom.admhmao.ru/" w:history="1">
        <w:r>
          <w:rPr>
            <w:rStyle w:val="af2"/>
            <w:sz w:val="27"/>
            <w:szCs w:val="27"/>
          </w:rPr>
          <w:t>https://depprom.admhmao.ru/</w:t>
        </w:r>
      </w:hyperlink>
      <w:r>
        <w:rPr>
          <w:sz w:val="27"/>
          <w:szCs w:val="27"/>
        </w:rPr>
        <w:t>).</w:t>
      </w:r>
    </w:p>
    <w:p w:rsidR="00E13DBC" w:rsidRDefault="00145EAE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</w:t>
      </w:r>
      <w:r>
        <w:rPr>
          <w:bCs/>
          <w:sz w:val="27"/>
          <w:szCs w:val="27"/>
        </w:rPr>
        <w:t>ципальных образованиях автономного округа осуществляет Департамент социального развития Ханты-Мансийского автономного округа – Югры (далее – Депсоцразвития Югры), для получения разъяснений и предоставления субсидий необходимо обращаться в Управления социал</w:t>
      </w:r>
      <w:r>
        <w:rPr>
          <w:bCs/>
          <w:sz w:val="27"/>
          <w:szCs w:val="27"/>
        </w:rPr>
        <w:t xml:space="preserve">ьной защиты населения по месту жительства, контакты которых размещены на официальном сайте Депсоцразвития Югры </w:t>
      </w:r>
      <w:hyperlink r:id="rId13" w:tooltip="http://www.depsr.admhmao.ru/" w:history="1">
        <w:r>
          <w:rPr>
            <w:rStyle w:val="af2"/>
            <w:bCs/>
            <w:sz w:val="27"/>
            <w:szCs w:val="27"/>
          </w:rPr>
          <w:t>https://depsr.admhmao.ru/</w:t>
        </w:r>
      </w:hyperlink>
      <w:r>
        <w:rPr>
          <w:bCs/>
          <w:sz w:val="27"/>
          <w:szCs w:val="27"/>
        </w:rPr>
        <w:t xml:space="preserve"> в нижней части страницы раздела «Контакт</w:t>
      </w:r>
      <w:r>
        <w:rPr>
          <w:bCs/>
          <w:sz w:val="27"/>
          <w:szCs w:val="27"/>
        </w:rPr>
        <w:t>ы» (</w:t>
      </w:r>
      <w:hyperlink r:id="rId14" w:tooltip="https://depsr.admhmao.ru/kontakty/" w:history="1">
        <w:r>
          <w:rPr>
            <w:rStyle w:val="af2"/>
            <w:bCs/>
            <w:sz w:val="27"/>
            <w:szCs w:val="27"/>
          </w:rPr>
          <w:t>https://depsr.admh</w:t>
        </w:r>
        <w:bookmarkStart w:id="7" w:name="_Hlt125450442"/>
        <w:bookmarkStart w:id="8" w:name="_Hlt125450443"/>
        <w:r>
          <w:rPr>
            <w:rStyle w:val="af2"/>
            <w:bCs/>
            <w:sz w:val="27"/>
            <w:szCs w:val="27"/>
          </w:rPr>
          <w:t>m</w:t>
        </w:r>
        <w:bookmarkEnd w:id="7"/>
        <w:bookmarkEnd w:id="8"/>
        <w:r>
          <w:rPr>
            <w:rStyle w:val="af2"/>
            <w:bCs/>
            <w:sz w:val="27"/>
            <w:szCs w:val="27"/>
          </w:rPr>
          <w:t>ao.ru/kontakty/</w:t>
        </w:r>
      </w:hyperlink>
      <w:r>
        <w:rPr>
          <w:bCs/>
          <w:sz w:val="27"/>
          <w:szCs w:val="27"/>
        </w:rPr>
        <w:t>).</w:t>
      </w:r>
    </w:p>
    <w:p w:rsidR="00E13DBC" w:rsidRDefault="00145EAE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Для соблюдения предельных индексов в 2025 году, для населения продолжено применение уровней платы, установленных соответстве</w:t>
      </w:r>
      <w:r>
        <w:rPr>
          <w:bCs/>
          <w:sz w:val="27"/>
          <w:szCs w:val="27"/>
        </w:rPr>
        <w:t>нно для коммунальной сферы, в том числе в сфере обращения с ТКО, с компенсацией выпадающих доходов из бюджетной системы.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Общественный и государственный контроль за ростом платы на коммунальные услуги на территории автономного округа реализован посредством </w:t>
      </w:r>
      <w:r>
        <w:rPr>
          <w:rStyle w:val="titlerazdel"/>
          <w:sz w:val="27"/>
          <w:szCs w:val="27"/>
        </w:rPr>
        <w:t>следующих механизмов: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5" w:tooltip="http://regulation.admhmao.ru/projects" w:history="1">
        <w:r>
          <w:rPr>
            <w:rStyle w:val="af2"/>
            <w:sz w:val="27"/>
            <w:szCs w:val="27"/>
          </w:rPr>
          <w:t>http://regulation.admhm</w:t>
        </w:r>
        <w:bookmarkStart w:id="9" w:name="_Hlt168649329"/>
        <w:bookmarkStart w:id="10" w:name="_Hlt168649330"/>
        <w:r>
          <w:rPr>
            <w:rStyle w:val="af2"/>
            <w:sz w:val="27"/>
            <w:szCs w:val="27"/>
          </w:rPr>
          <w:t>a</w:t>
        </w:r>
        <w:bookmarkEnd w:id="9"/>
        <w:bookmarkEnd w:id="10"/>
        <w:r>
          <w:rPr>
            <w:rStyle w:val="af2"/>
            <w:sz w:val="27"/>
            <w:szCs w:val="27"/>
          </w:rPr>
          <w:t>o.ru/projects#</w:t>
        </w:r>
      </w:hyperlink>
      <w:r>
        <w:rPr>
          <w:rStyle w:val="titlerazdel"/>
          <w:sz w:val="27"/>
          <w:szCs w:val="27"/>
        </w:rPr>
        <w:t>);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участия представителей общественности, прокуратуры и федеральной антимонопольной службы на заседаниях правления РСТ Югры при рассмотрении </w:t>
      </w:r>
      <w:r>
        <w:rPr>
          <w:rStyle w:val="titlerazdel"/>
          <w:sz w:val="27"/>
          <w:szCs w:val="27"/>
        </w:rPr>
        <w:t>вопросов, касающихся тарифов на коммунальные услуги;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рассмотрения на заседании Правительства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</w:t>
      </w:r>
      <w:r>
        <w:rPr>
          <w:rStyle w:val="titlerazdel"/>
          <w:sz w:val="27"/>
          <w:szCs w:val="27"/>
        </w:rPr>
        <w:t>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lastRenderedPageBreak/>
        <w:t>Нарушение законодательства Российской Федерации в области государственно</w:t>
      </w:r>
      <w:r>
        <w:rPr>
          <w:rStyle w:val="titlerazdel"/>
          <w:sz w:val="27"/>
          <w:szCs w:val="27"/>
        </w:rPr>
        <w:t>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 целях недопущения не</w:t>
      </w:r>
      <w:r>
        <w:rPr>
          <w:rStyle w:val="titlerazdel"/>
          <w:sz w:val="27"/>
          <w:szCs w:val="27"/>
        </w:rPr>
        <w:t xml:space="preserve">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rPr>
          <w:sz w:val="27"/>
          <w:szCs w:val="27"/>
        </w:rPr>
        <w:t xml:space="preserve">постановление Губернатора автономного округа от 11.12.2023 № 185 (в ред. от 11.12.2024) «О предельных (максимальных) </w:t>
      </w:r>
      <w:r>
        <w:rPr>
          <w:sz w:val="27"/>
          <w:szCs w:val="27"/>
        </w:rPr>
        <w:t>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                                   2024 – 2028 годы» (далее – постановление Губернатора Югры) (</w:t>
      </w:r>
      <w:hyperlink r:id="rId16" w:tooltip="https://admhmao.ru/documents/pravovye-akty/postanovleniya-gubernatora/10877131/" w:history="1">
        <w:r>
          <w:rPr>
            <w:rStyle w:val="af2"/>
            <w:sz w:val="27"/>
            <w:szCs w:val="27"/>
          </w:rPr>
          <w:t>https://admhmao.ru/documents/pravovye-akty/postanovleniya-gubernatora/10877131/</w:t>
        </w:r>
      </w:hyperlink>
      <w:r>
        <w:rPr>
          <w:sz w:val="27"/>
          <w:szCs w:val="27"/>
        </w:rPr>
        <w:t xml:space="preserve">), </w:t>
      </w:r>
      <w:r>
        <w:rPr>
          <w:rStyle w:val="titlerazdel"/>
          <w:sz w:val="27"/>
          <w:szCs w:val="27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2025 год (далее – план).</w:t>
      </w:r>
    </w:p>
    <w:p w:rsidR="00E13DBC" w:rsidRDefault="00145EAE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Во исполнение указанн</w:t>
      </w:r>
      <w:r>
        <w:rPr>
          <w:rStyle w:val="titlerazdel"/>
          <w:sz w:val="27"/>
          <w:szCs w:val="27"/>
        </w:rPr>
        <w:t>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</w:t>
      </w:r>
      <w:r>
        <w:rPr>
          <w:rStyle w:val="titlerazdel"/>
          <w:sz w:val="27"/>
          <w:szCs w:val="27"/>
        </w:rPr>
        <w:t>альном сайте РСТ Югры (</w:t>
      </w:r>
      <w:hyperlink r:id="rId17" w:tooltip="https://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)  в разделе «Для граждан», подразделе «Плата граждан за коммунальные услуги», блоке «Мониторинг изменения платы граждан за коммунальные услу</w:t>
      </w:r>
      <w:r>
        <w:rPr>
          <w:rStyle w:val="titlerazdel"/>
          <w:sz w:val="27"/>
          <w:szCs w:val="27"/>
        </w:rPr>
        <w:t>ги» (</w:t>
      </w:r>
      <w:hyperlink r:id="rId18" w:tooltip="https://rst.admhmao.ru/dlya-grazhdan/" w:history="1">
        <w:r>
          <w:rPr>
            <w:rStyle w:val="af2"/>
            <w:sz w:val="27"/>
            <w:szCs w:val="27"/>
          </w:rPr>
          <w:t>https://rst.admhmao</w:t>
        </w:r>
        <w:bookmarkStart w:id="11" w:name="_Hlt125122938"/>
        <w:bookmarkStart w:id="12" w:name="_Hlt125122939"/>
        <w:r>
          <w:rPr>
            <w:rStyle w:val="af2"/>
            <w:sz w:val="27"/>
            <w:szCs w:val="27"/>
          </w:rPr>
          <w:t>.</w:t>
        </w:r>
        <w:bookmarkEnd w:id="11"/>
        <w:bookmarkEnd w:id="12"/>
        <w:r>
          <w:rPr>
            <w:rStyle w:val="af2"/>
            <w:sz w:val="27"/>
            <w:szCs w:val="27"/>
          </w:rPr>
          <w:t>ru/dlya-grazhdan/</w:t>
        </w:r>
      </w:hyperlink>
      <w:r>
        <w:rPr>
          <w:rStyle w:val="titlerazdel"/>
          <w:sz w:val="27"/>
          <w:szCs w:val="27"/>
        </w:rPr>
        <w:t>).</w:t>
      </w:r>
    </w:p>
    <w:p w:rsidR="00E13DBC" w:rsidRDefault="00145EAE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7"/>
          <w:szCs w:val="27"/>
        </w:rPr>
        <w:t xml:space="preserve">Кроме того, на официальном сайте РСТ Югры </w:t>
      </w:r>
      <w:r>
        <w:rPr>
          <w:rStyle w:val="titlerazdel"/>
          <w:sz w:val="27"/>
          <w:szCs w:val="27"/>
        </w:rPr>
        <w:t xml:space="preserve"> (</w:t>
      </w:r>
      <w:hyperlink r:id="rId19" w:tooltip="https://rst.admhmao.ru/" w:history="1">
        <w:r>
          <w:rPr>
            <w:rStyle w:val="af2"/>
            <w:sz w:val="27"/>
            <w:szCs w:val="27"/>
          </w:rPr>
          <w:t>h</w:t>
        </w:r>
        <w:r>
          <w:rPr>
            <w:rStyle w:val="af2"/>
            <w:sz w:val="27"/>
            <w:szCs w:val="27"/>
          </w:rPr>
          <w:t>ttps://rst.admhmao.ru/</w:t>
        </w:r>
      </w:hyperlink>
      <w:r>
        <w:rPr>
          <w:rStyle w:val="titlerazdel"/>
          <w:sz w:val="27"/>
          <w:szCs w:val="27"/>
        </w:rPr>
        <w:t>)</w:t>
      </w:r>
      <w:r>
        <w:rPr>
          <w:rFonts w:eastAsia="Calibri"/>
          <w:sz w:val="27"/>
          <w:szCs w:val="27"/>
        </w:rPr>
        <w:t>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0" w:tooltip="http://eias.fas.gov.ru/calc_ku/map/" w:history="1">
        <w:r>
          <w:rPr>
            <w:rStyle w:val="af2"/>
            <w:rFonts w:eastAsia="Calibri"/>
            <w:sz w:val="27"/>
            <w:szCs w:val="27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E12E27" w:rsidRDefault="00E12E2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E12E27" w:rsidRDefault="00E12E27" w:rsidP="00E12E27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подготовлена </w:t>
      </w:r>
    </w:p>
    <w:p w:rsidR="00E12E27" w:rsidRDefault="00E12E27" w:rsidP="00E12E27">
      <w:pPr>
        <w:pStyle w:val="a4"/>
        <w:rPr>
          <w:sz w:val="26"/>
          <w:szCs w:val="26"/>
        </w:rPr>
      </w:pPr>
      <w:r>
        <w:rPr>
          <w:sz w:val="26"/>
          <w:szCs w:val="26"/>
        </w:rPr>
        <w:t>Региональной службой по тарифам ХМАО-Югры</w:t>
      </w:r>
    </w:p>
    <w:p w:rsidR="00E12E27" w:rsidRDefault="00E12E27" w:rsidP="00E12E27">
      <w:pPr>
        <w:pStyle w:val="a4"/>
      </w:pPr>
    </w:p>
    <w:p w:rsidR="00E12E27" w:rsidRDefault="00E12E2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bookmarkStart w:id="13" w:name="_GoBack"/>
      <w:bookmarkEnd w:id="13"/>
    </w:p>
    <w:sectPr w:rsidR="00E12E27">
      <w:headerReference w:type="default" r:id="rId21"/>
      <w:pgSz w:w="11906" w:h="16838"/>
      <w:pgMar w:top="1418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AE" w:rsidRDefault="00145EAE">
      <w:r>
        <w:separator/>
      </w:r>
    </w:p>
  </w:endnote>
  <w:endnote w:type="continuationSeparator" w:id="0">
    <w:p w:rsidR="00145EAE" w:rsidRDefault="0014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AE" w:rsidRDefault="00145EAE">
      <w:r>
        <w:separator/>
      </w:r>
    </w:p>
  </w:footnote>
  <w:footnote w:type="continuationSeparator" w:id="0">
    <w:p w:rsidR="00145EAE" w:rsidRDefault="0014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C" w:rsidRDefault="00145EA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12E27">
      <w:rPr>
        <w:noProof/>
      </w:rPr>
      <w:t>3</w:t>
    </w:r>
    <w:r>
      <w:fldChar w:fldCharType="end"/>
    </w:r>
  </w:p>
  <w:p w:rsidR="00E13DBC" w:rsidRDefault="00E13D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7FC2"/>
    <w:multiLevelType w:val="hybridMultilevel"/>
    <w:tmpl w:val="3154E630"/>
    <w:lvl w:ilvl="0" w:tplc="5074E87E">
      <w:start w:val="1"/>
      <w:numFmt w:val="decimal"/>
      <w:lvlText w:val="%1)"/>
      <w:lvlJc w:val="left"/>
      <w:pPr>
        <w:ind w:left="927" w:hanging="360"/>
      </w:pPr>
    </w:lvl>
    <w:lvl w:ilvl="1" w:tplc="B6F0C3A2">
      <w:start w:val="1"/>
      <w:numFmt w:val="lowerLetter"/>
      <w:lvlText w:val="%2."/>
      <w:lvlJc w:val="left"/>
      <w:pPr>
        <w:ind w:left="1647" w:hanging="360"/>
      </w:pPr>
    </w:lvl>
    <w:lvl w:ilvl="2" w:tplc="CA0A9C08">
      <w:start w:val="1"/>
      <w:numFmt w:val="lowerRoman"/>
      <w:lvlText w:val="%3."/>
      <w:lvlJc w:val="right"/>
      <w:pPr>
        <w:ind w:left="2367" w:hanging="180"/>
      </w:pPr>
    </w:lvl>
    <w:lvl w:ilvl="3" w:tplc="55A4F00A">
      <w:start w:val="1"/>
      <w:numFmt w:val="decimal"/>
      <w:lvlText w:val="%4."/>
      <w:lvlJc w:val="left"/>
      <w:pPr>
        <w:ind w:left="3087" w:hanging="360"/>
      </w:pPr>
    </w:lvl>
    <w:lvl w:ilvl="4" w:tplc="47085D40">
      <w:start w:val="1"/>
      <w:numFmt w:val="lowerLetter"/>
      <w:lvlText w:val="%5."/>
      <w:lvlJc w:val="left"/>
      <w:pPr>
        <w:ind w:left="3807" w:hanging="360"/>
      </w:pPr>
    </w:lvl>
    <w:lvl w:ilvl="5" w:tplc="F7623284">
      <w:start w:val="1"/>
      <w:numFmt w:val="lowerRoman"/>
      <w:lvlText w:val="%6."/>
      <w:lvlJc w:val="right"/>
      <w:pPr>
        <w:ind w:left="4527" w:hanging="180"/>
      </w:pPr>
    </w:lvl>
    <w:lvl w:ilvl="6" w:tplc="7C2033BA">
      <w:start w:val="1"/>
      <w:numFmt w:val="decimal"/>
      <w:lvlText w:val="%7."/>
      <w:lvlJc w:val="left"/>
      <w:pPr>
        <w:ind w:left="5247" w:hanging="360"/>
      </w:pPr>
    </w:lvl>
    <w:lvl w:ilvl="7" w:tplc="C8946C70">
      <w:start w:val="1"/>
      <w:numFmt w:val="lowerLetter"/>
      <w:lvlText w:val="%8."/>
      <w:lvlJc w:val="left"/>
      <w:pPr>
        <w:ind w:left="5967" w:hanging="360"/>
      </w:pPr>
    </w:lvl>
    <w:lvl w:ilvl="8" w:tplc="A21A397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BC"/>
    <w:rsid w:val="00145EAE"/>
    <w:rsid w:val="00E12E27"/>
    <w:rsid w:val="00E1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0041"/>
  <w15:docId w15:val="{562C3AF5-542B-4B92-AA9A-90110EC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titlerazdel">
    <w:name w:val="title_razdel"/>
  </w:style>
  <w:style w:type="character" w:styleId="afb">
    <w:name w:val="FollowedHyperlink"/>
    <w:uiPriority w:val="99"/>
    <w:semiHidden/>
    <w:unhideWhenUsed/>
    <w:rPr>
      <w:color w:val="954F72"/>
      <w:u w:val="single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/" TargetMode="Externa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s://rst.admhmao.ru/dlya-grazhdan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sn.admhmao.ru/" TargetMode="External"/><Relationship Id="rId12" Type="http://schemas.openxmlformats.org/officeDocument/2006/relationships/hyperlink" Target="https://depprom.admhmao.ru/" TargetMode="External"/><Relationship Id="rId17" Type="http://schemas.openxmlformats.org/officeDocument/2006/relationships/hyperlink" Target="https://rst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hmao.ru/documents/pravovye-akty/postanovleniya-gubernatora/10877131/" TargetMode="External"/><Relationship Id="rId20" Type="http://schemas.openxmlformats.org/officeDocument/2006/relationships/hyperlink" Target="http://eias.fas.gov.ru/calc_ku/m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.admhmao.ru/deyatelno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ulation.admhmao.ru/proje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hyperlink" Target="https://rst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Ларина Ирина Викторовна</cp:lastModifiedBy>
  <cp:revision>105</cp:revision>
  <dcterms:created xsi:type="dcterms:W3CDTF">2021-10-05T06:04:00Z</dcterms:created>
  <dcterms:modified xsi:type="dcterms:W3CDTF">2025-07-01T05:04:00Z</dcterms:modified>
  <cp:version>1048576</cp:version>
</cp:coreProperties>
</file>